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4B8D" w14:textId="77777777" w:rsidR="0086729F" w:rsidRPr="0086729F" w:rsidRDefault="0086729F" w:rsidP="0086729F">
      <w:pPr>
        <w:ind w:left="280" w:hanging="280"/>
        <w:jc w:val="left"/>
        <w:rPr>
          <w:b/>
          <w:bCs/>
          <w:sz w:val="28"/>
          <w:szCs w:val="28"/>
        </w:rPr>
      </w:pPr>
      <w:r w:rsidRPr="0086729F">
        <w:rPr>
          <w:rFonts w:hint="eastAsia"/>
          <w:b/>
          <w:bCs/>
          <w:sz w:val="28"/>
          <w:szCs w:val="28"/>
        </w:rPr>
        <w:t>福祉・介護職員等処遇改善加算における職場環境等要件について</w:t>
      </w:r>
    </w:p>
    <w:p w14:paraId="48AA20F1" w14:textId="77777777" w:rsidR="0086729F" w:rsidRDefault="0086729F" w:rsidP="0086729F">
      <w:pPr>
        <w:ind w:left="0" w:firstLineChars="100" w:firstLine="210"/>
        <w:jc w:val="left"/>
      </w:pPr>
    </w:p>
    <w:p w14:paraId="48071547" w14:textId="7B495E0D" w:rsidR="0086729F" w:rsidRPr="0086729F" w:rsidRDefault="0086729F" w:rsidP="0086729F">
      <w:pPr>
        <w:ind w:left="0" w:firstLineChars="100" w:firstLine="240"/>
        <w:jc w:val="left"/>
        <w:rPr>
          <w:sz w:val="24"/>
        </w:rPr>
      </w:pPr>
      <w:r w:rsidRPr="0086729F">
        <w:rPr>
          <w:rFonts w:hint="eastAsia"/>
          <w:sz w:val="24"/>
        </w:rPr>
        <w:t>法人</w:t>
      </w:r>
      <w:r w:rsidRPr="0086729F">
        <w:rPr>
          <w:sz w:val="24"/>
        </w:rPr>
        <w:t>では福祉・介護職員等処遇改善加算を活用して、職員の処遇改善を実施しています。</w:t>
      </w:r>
      <w:r w:rsidRPr="0086729F">
        <w:rPr>
          <w:rFonts w:hint="eastAsia"/>
          <w:sz w:val="24"/>
        </w:rPr>
        <w:br/>
      </w:r>
      <w:r w:rsidRPr="0086729F">
        <w:rPr>
          <w:rFonts w:hint="eastAsia"/>
          <w:sz w:val="24"/>
        </w:rPr>
        <w:t xml:space="preserve">　</w:t>
      </w:r>
      <w:r w:rsidRPr="0086729F">
        <w:rPr>
          <w:rFonts w:hint="eastAsia"/>
          <w:sz w:val="24"/>
        </w:rPr>
        <w:t>福祉・介護職員等処遇改善加算の申請にあたり、職場環境等要件として次の事項について取り組むこととしています。</w:t>
      </w:r>
      <w:r w:rsidRPr="0086729F">
        <w:rPr>
          <w:rFonts w:hint="eastAsia"/>
          <w:sz w:val="24"/>
        </w:rPr>
        <w:br/>
      </w:r>
    </w:p>
    <w:p w14:paraId="4119128A" w14:textId="61BF595F" w:rsidR="0086729F" w:rsidRPr="0086729F" w:rsidRDefault="0086729F" w:rsidP="0086729F">
      <w:pPr>
        <w:ind w:left="98" w:hangingChars="41" w:hanging="98"/>
        <w:jc w:val="left"/>
        <w:rPr>
          <w:rFonts w:hint="eastAsia"/>
          <w:b/>
          <w:bCs/>
          <w:sz w:val="24"/>
          <w:u w:val="single"/>
        </w:rPr>
      </w:pPr>
      <w:r w:rsidRPr="0086729F">
        <w:rPr>
          <w:rFonts w:hint="eastAsia"/>
          <w:b/>
          <w:bCs/>
          <w:sz w:val="24"/>
          <w:u w:val="single"/>
        </w:rPr>
        <w:t>1，</w:t>
      </w:r>
      <w:r w:rsidRPr="0086729F">
        <w:rPr>
          <w:b/>
          <w:bCs/>
          <w:sz w:val="24"/>
          <w:u w:val="single"/>
        </w:rPr>
        <w:t>入職促進に向けた取組</w:t>
      </w:r>
    </w:p>
    <w:p w14:paraId="04E78682" w14:textId="77777777" w:rsidR="0086729F" w:rsidRDefault="0086729F" w:rsidP="0086729F">
      <w:pPr>
        <w:pStyle w:val="25"/>
      </w:pPr>
      <w:r>
        <w:rPr>
          <w:rFonts w:hint="eastAsia"/>
        </w:rPr>
        <w:t>・</w:t>
      </w:r>
      <w:r w:rsidRPr="00453E14">
        <w:rPr>
          <w:rFonts w:hint="eastAsia"/>
        </w:rPr>
        <w:t>法人や事業所の経営理念や支援方針・人材育成方針、その実現のための施策・仕組みなどの明確化</w:t>
      </w:r>
    </w:p>
    <w:p w14:paraId="533BADEA" w14:textId="52C25945" w:rsidR="0086729F" w:rsidRPr="0086729F" w:rsidRDefault="0086729F" w:rsidP="0086729F">
      <w:pPr>
        <w:pStyle w:val="25"/>
      </w:pPr>
      <w:r w:rsidRPr="0086729F">
        <w:t>・他産業からの転職者、主婦層、中高年齢者等、経験者・有資格者等にこだわらない幅広い採用の仕組みの構築（採用の実績でも可）</w:t>
      </w:r>
    </w:p>
    <w:p w14:paraId="588F4214" w14:textId="77777777" w:rsidR="0086729F" w:rsidRDefault="0086729F" w:rsidP="0086729F">
      <w:pPr>
        <w:ind w:leftChars="100" w:left="450" w:hanging="240"/>
        <w:jc w:val="left"/>
        <w:rPr>
          <w:sz w:val="24"/>
        </w:rPr>
      </w:pPr>
      <w:r w:rsidRPr="0086729F">
        <w:rPr>
          <w:sz w:val="24"/>
        </w:rPr>
        <w:t>・職業体験の受入れや地域行事への参加や主催等による職業魅力向上の取組の実施</w:t>
      </w:r>
    </w:p>
    <w:p w14:paraId="0D699D4A" w14:textId="77777777" w:rsidR="0086729F" w:rsidRPr="0086729F" w:rsidRDefault="0086729F" w:rsidP="0086729F">
      <w:pPr>
        <w:ind w:leftChars="100" w:left="450" w:hanging="240"/>
        <w:jc w:val="left"/>
        <w:rPr>
          <w:rFonts w:hint="eastAsia"/>
          <w:sz w:val="24"/>
        </w:rPr>
      </w:pPr>
    </w:p>
    <w:p w14:paraId="0AE6EA30" w14:textId="6E3FB40E" w:rsidR="0086729F" w:rsidRPr="0086729F" w:rsidRDefault="0086729F" w:rsidP="0086729F">
      <w:pPr>
        <w:ind w:left="240" w:hanging="240"/>
        <w:jc w:val="left"/>
        <w:rPr>
          <w:b/>
          <w:bCs/>
          <w:sz w:val="24"/>
          <w:u w:val="single"/>
        </w:rPr>
      </w:pPr>
      <w:r w:rsidRPr="0086729F">
        <w:rPr>
          <w:rFonts w:hint="eastAsia"/>
          <w:b/>
          <w:bCs/>
          <w:sz w:val="24"/>
          <w:u w:val="single"/>
        </w:rPr>
        <w:t>2，</w:t>
      </w:r>
      <w:r w:rsidRPr="0086729F">
        <w:rPr>
          <w:b/>
          <w:bCs/>
          <w:sz w:val="24"/>
          <w:u w:val="single"/>
        </w:rPr>
        <w:t>資質の向上やキャリアアップに向けた支援</w:t>
      </w:r>
    </w:p>
    <w:p w14:paraId="57B2DCA6" w14:textId="77777777" w:rsidR="0086729F" w:rsidRDefault="0086729F" w:rsidP="0086729F">
      <w:pPr>
        <w:ind w:left="240" w:hanging="240"/>
        <w:jc w:val="left"/>
        <w:rPr>
          <w:sz w:val="24"/>
        </w:rPr>
      </w:pPr>
      <w:r w:rsidRPr="0086729F">
        <w:rPr>
          <w:sz w:val="24"/>
        </w:rPr>
        <w:t>・働きながら国家資格等の取得を目指す者に対する研修受講支援や、より専門性の高い支援技術を取得しようとする者に対する各国家資格の生涯研修制度、サービス管理責任者研修、喀痰吸引研修、強度行動障害支援者養成研修等の業務関連専門技術研修の受講支援等</w:t>
      </w:r>
    </w:p>
    <w:p w14:paraId="21BDBD7F" w14:textId="5869D804" w:rsidR="0086729F" w:rsidRPr="0086729F" w:rsidRDefault="0086729F" w:rsidP="0086729F">
      <w:pPr>
        <w:ind w:left="240" w:hanging="240"/>
        <w:jc w:val="left"/>
        <w:rPr>
          <w:rFonts w:asciiTheme="minorEastAsia" w:hAnsiTheme="minorEastAsia" w:hint="eastAsia"/>
          <w:sz w:val="24"/>
        </w:rPr>
      </w:pPr>
      <w:r>
        <w:rPr>
          <w:rFonts w:hint="eastAsia"/>
          <w:sz w:val="24"/>
        </w:rPr>
        <w:t>・</w:t>
      </w:r>
      <w:r w:rsidRPr="00453E14">
        <w:rPr>
          <w:rFonts w:asciiTheme="minorEastAsia" w:hAnsiTheme="minorEastAsia" w:cs="ＭＳ Ｐゴシック" w:hint="eastAsia"/>
          <w:color w:val="000000"/>
          <w:kern w:val="0"/>
          <w:sz w:val="24"/>
          <w14:ligatures w14:val="none"/>
        </w:rPr>
        <w:t>研修の受講やキャリア段位制度と人事考課との連動によるキャリアサポート制度等の導入</w:t>
      </w:r>
    </w:p>
    <w:p w14:paraId="65BCD00E" w14:textId="77777777" w:rsidR="0086729F" w:rsidRDefault="0086729F" w:rsidP="0086729F">
      <w:pPr>
        <w:ind w:left="240" w:hanging="240"/>
        <w:jc w:val="left"/>
        <w:rPr>
          <w:rFonts w:asciiTheme="minorEastAsia" w:hAnsiTheme="minorEastAsia" w:cs="ＭＳ Ｐゴシック"/>
          <w:color w:val="000000"/>
          <w:kern w:val="0"/>
          <w:sz w:val="24"/>
          <w14:ligatures w14:val="none"/>
        </w:rPr>
      </w:pPr>
      <w:r w:rsidRPr="0086729F">
        <w:rPr>
          <w:sz w:val="24"/>
        </w:rPr>
        <w:t>・</w:t>
      </w:r>
      <w:r w:rsidRPr="00453E14">
        <w:rPr>
          <w:rFonts w:asciiTheme="minorEastAsia" w:hAnsiTheme="minorEastAsia" w:cs="ＭＳ Ｐゴシック" w:hint="eastAsia"/>
          <w:color w:val="000000"/>
          <w:kern w:val="0"/>
          <w:sz w:val="24"/>
          <w14:ligatures w14:val="none"/>
        </w:rPr>
        <w:t>エルダー・メンター（仕事やメンタル面のサポート等をする担当者）制度等導入</w:t>
      </w:r>
    </w:p>
    <w:p w14:paraId="1E930D2F" w14:textId="77777777" w:rsidR="0086729F" w:rsidRDefault="0086729F" w:rsidP="0086729F">
      <w:pPr>
        <w:ind w:left="240" w:hanging="240"/>
        <w:jc w:val="left"/>
        <w:rPr>
          <w:rFonts w:asciiTheme="minorEastAsia" w:hAnsiTheme="minorEastAsia" w:cs="ＭＳ Ｐゴシック"/>
          <w:color w:val="000000"/>
          <w:kern w:val="0"/>
          <w:sz w:val="24"/>
          <w14:ligatures w14:val="none"/>
        </w:rPr>
      </w:pPr>
    </w:p>
    <w:p w14:paraId="1CADF195" w14:textId="3F1C708B" w:rsidR="0086729F" w:rsidRPr="0086729F" w:rsidRDefault="0086729F" w:rsidP="0086729F">
      <w:pPr>
        <w:ind w:left="240" w:hanging="240"/>
        <w:jc w:val="left"/>
        <w:rPr>
          <w:b/>
          <w:bCs/>
          <w:sz w:val="24"/>
          <w:u w:val="single"/>
        </w:rPr>
      </w:pPr>
      <w:r w:rsidRPr="0086729F">
        <w:rPr>
          <w:rFonts w:asciiTheme="minorEastAsia" w:hAnsiTheme="minorEastAsia" w:cs="ＭＳ Ｐゴシック" w:hint="eastAsia"/>
          <w:b/>
          <w:bCs/>
          <w:color w:val="000000"/>
          <w:kern w:val="0"/>
          <w:sz w:val="24"/>
          <w:u w:val="single"/>
          <w14:ligatures w14:val="none"/>
        </w:rPr>
        <w:t>3，</w:t>
      </w:r>
      <w:r w:rsidRPr="0086729F">
        <w:rPr>
          <w:b/>
          <w:bCs/>
          <w:sz w:val="24"/>
          <w:u w:val="single"/>
        </w:rPr>
        <w:t>両立支援・多様な働き方の推進</w:t>
      </w:r>
    </w:p>
    <w:p w14:paraId="6A77B82F" w14:textId="77777777" w:rsidR="0086729F" w:rsidRDefault="0086729F" w:rsidP="0086729F">
      <w:pPr>
        <w:ind w:left="240" w:hanging="240"/>
        <w:jc w:val="left"/>
        <w:rPr>
          <w:sz w:val="24"/>
        </w:rPr>
      </w:pPr>
      <w:r w:rsidRPr="0086729F">
        <w:rPr>
          <w:sz w:val="24"/>
        </w:rPr>
        <w:t>・職員の事情等の状況に応じた勤務シフトや短時間正規職員制度の導入、職員の希望に即した非正規職員から正規職員への転換の制度等の整備</w:t>
      </w:r>
    </w:p>
    <w:p w14:paraId="6CA3F3E7" w14:textId="4678FCB6" w:rsidR="0086729F" w:rsidRPr="0086729F" w:rsidRDefault="0086729F" w:rsidP="0086729F">
      <w:pPr>
        <w:ind w:left="240" w:hanging="240"/>
        <w:jc w:val="left"/>
        <w:rPr>
          <w:rFonts w:asciiTheme="minorEastAsia" w:hAnsiTheme="minorEastAsia" w:hint="eastAsia"/>
          <w:sz w:val="24"/>
        </w:rPr>
      </w:pPr>
      <w:r>
        <w:rPr>
          <w:rFonts w:hint="eastAsia"/>
          <w:sz w:val="24"/>
        </w:rPr>
        <w:t>・</w:t>
      </w:r>
      <w:r w:rsidRPr="00453E14">
        <w:rPr>
          <w:rFonts w:asciiTheme="minorEastAsia" w:hAnsiTheme="minorEastAsia" w:cs="ＭＳ Ｐゴシック" w:hint="eastAsia"/>
          <w:color w:val="000000"/>
          <w:kern w:val="0"/>
          <w:sz w:val="24"/>
          <w14:ligatures w14:val="none"/>
        </w:rPr>
        <w:t>有給休暇を取得しやすい雰囲気・意識作りのため、具体的な取得目標（例えば、１週間以上の休暇を年に●回取得、付与日数のうち●％以上を取得）を定めた上で、取得状況を定期的に確認し、身近な上司等からの積極的な声かけ等に取り組んでいる</w:t>
      </w:r>
      <w:r>
        <w:rPr>
          <w:rFonts w:asciiTheme="minorEastAsia" w:hAnsiTheme="minorEastAsia" w:cs="ＭＳ Ｐゴシック" w:hint="eastAsia"/>
          <w:color w:val="000000"/>
          <w:kern w:val="0"/>
          <w:sz w:val="24"/>
          <w14:ligatures w14:val="none"/>
        </w:rPr>
        <w:t>。</w:t>
      </w:r>
    </w:p>
    <w:p w14:paraId="0DE1C575" w14:textId="77777777" w:rsidR="0086729F" w:rsidRDefault="0086729F" w:rsidP="0086729F">
      <w:pPr>
        <w:ind w:left="240" w:hanging="240"/>
        <w:jc w:val="left"/>
        <w:rPr>
          <w:sz w:val="24"/>
        </w:rPr>
      </w:pPr>
      <w:r w:rsidRPr="0086729F">
        <w:rPr>
          <w:sz w:val="24"/>
        </w:rPr>
        <w:lastRenderedPageBreak/>
        <w:t>・有給休暇の取得促進のため、情報共有や複数担当制等により、業務の属人化の解消、業務配分の偏りの解消に取り組んでいる</w:t>
      </w:r>
    </w:p>
    <w:p w14:paraId="474825FC" w14:textId="77777777" w:rsidR="0086729F" w:rsidRDefault="0086729F" w:rsidP="0086729F">
      <w:pPr>
        <w:ind w:left="240" w:hanging="240"/>
        <w:jc w:val="left"/>
        <w:rPr>
          <w:sz w:val="24"/>
        </w:rPr>
      </w:pPr>
    </w:p>
    <w:p w14:paraId="2960DFF0" w14:textId="2ED5486C" w:rsidR="0086729F" w:rsidRPr="0086729F" w:rsidRDefault="0086729F" w:rsidP="0086729F">
      <w:pPr>
        <w:ind w:left="240" w:hanging="240"/>
        <w:jc w:val="left"/>
        <w:rPr>
          <w:b/>
          <w:bCs/>
          <w:sz w:val="24"/>
          <w:u w:val="single"/>
        </w:rPr>
      </w:pPr>
      <w:r w:rsidRPr="0086729F">
        <w:rPr>
          <w:rFonts w:hint="eastAsia"/>
          <w:b/>
          <w:bCs/>
          <w:sz w:val="24"/>
          <w:u w:val="single"/>
        </w:rPr>
        <w:t>4，</w:t>
      </w:r>
      <w:r w:rsidRPr="0086729F">
        <w:rPr>
          <w:b/>
          <w:bCs/>
          <w:sz w:val="24"/>
          <w:u w:val="single"/>
        </w:rPr>
        <w:t>腰痛を含む心身の健康管理</w:t>
      </w:r>
    </w:p>
    <w:p w14:paraId="047BCA24" w14:textId="77777777" w:rsidR="0086729F" w:rsidRPr="0086729F" w:rsidRDefault="0086729F" w:rsidP="0086729F">
      <w:pPr>
        <w:ind w:left="240" w:hanging="240"/>
        <w:jc w:val="left"/>
        <w:rPr>
          <w:sz w:val="24"/>
        </w:rPr>
      </w:pPr>
      <w:r w:rsidRPr="0086729F">
        <w:rPr>
          <w:sz w:val="24"/>
        </w:rPr>
        <w:t>・業務や福利厚生制度、メンタルヘルス等の職員相談窓口の設置等相談体制の充実</w:t>
      </w:r>
    </w:p>
    <w:p w14:paraId="1C06734A" w14:textId="77777777" w:rsidR="0086729F" w:rsidRPr="0086729F" w:rsidRDefault="0086729F" w:rsidP="0086729F">
      <w:pPr>
        <w:ind w:left="240" w:hanging="240"/>
        <w:jc w:val="left"/>
        <w:rPr>
          <w:sz w:val="24"/>
        </w:rPr>
      </w:pPr>
      <w:r w:rsidRPr="0086729F">
        <w:rPr>
          <w:sz w:val="24"/>
        </w:rPr>
        <w:t>・短時間勤務労働者等も受診可能な健康診断・ストレスチェックや、従業者のための休憩室の設置等健康管理対策の実施</w:t>
      </w:r>
    </w:p>
    <w:p w14:paraId="3E8197CE" w14:textId="77777777" w:rsidR="0086729F" w:rsidRPr="0086729F" w:rsidRDefault="0086729F" w:rsidP="0086729F">
      <w:pPr>
        <w:ind w:left="240" w:hanging="240"/>
        <w:jc w:val="left"/>
        <w:rPr>
          <w:sz w:val="24"/>
        </w:rPr>
      </w:pPr>
      <w:r w:rsidRPr="0086729F">
        <w:rPr>
          <w:sz w:val="24"/>
        </w:rPr>
        <w:t>・事故・トラブルへの対応マニュアル等の作成等の体制の整備</w:t>
      </w:r>
    </w:p>
    <w:p w14:paraId="5535E3F9" w14:textId="77777777" w:rsidR="0086729F" w:rsidRDefault="0086729F" w:rsidP="0086729F">
      <w:pPr>
        <w:ind w:left="240" w:hanging="240"/>
        <w:jc w:val="left"/>
        <w:rPr>
          <w:sz w:val="24"/>
        </w:rPr>
      </w:pPr>
    </w:p>
    <w:p w14:paraId="0CA97CFA" w14:textId="449F2C64" w:rsidR="0086729F" w:rsidRPr="0086729F" w:rsidRDefault="0086729F" w:rsidP="0086729F">
      <w:pPr>
        <w:ind w:left="240" w:hanging="240"/>
        <w:jc w:val="left"/>
        <w:rPr>
          <w:b/>
          <w:bCs/>
          <w:sz w:val="24"/>
          <w:u w:val="single"/>
        </w:rPr>
      </w:pPr>
      <w:r w:rsidRPr="0086729F">
        <w:rPr>
          <w:rFonts w:hint="eastAsia"/>
          <w:b/>
          <w:bCs/>
          <w:sz w:val="24"/>
          <w:u w:val="single"/>
        </w:rPr>
        <w:t>5，</w:t>
      </w:r>
      <w:r w:rsidRPr="0086729F">
        <w:rPr>
          <w:b/>
          <w:bCs/>
          <w:sz w:val="24"/>
          <w:u w:val="single"/>
        </w:rPr>
        <w:t>生産性向上（業務改善及び働く環境改善）のための取組</w:t>
      </w:r>
    </w:p>
    <w:p w14:paraId="5D2C2CB4" w14:textId="77777777" w:rsidR="0086729F" w:rsidRPr="0086729F" w:rsidRDefault="0086729F" w:rsidP="0086729F">
      <w:pPr>
        <w:ind w:left="240" w:hanging="240"/>
        <w:jc w:val="left"/>
        <w:rPr>
          <w:sz w:val="24"/>
        </w:rPr>
      </w:pPr>
      <w:r w:rsidRPr="0086729F">
        <w:rPr>
          <w:sz w:val="24"/>
        </w:rPr>
        <w:t>・現場の課題の見える化（課題の抽出、課題の構造化、業務時間調査の実施等）を実施している</w:t>
      </w:r>
    </w:p>
    <w:p w14:paraId="7D20588A" w14:textId="77777777" w:rsidR="0086729F" w:rsidRPr="0086729F" w:rsidRDefault="0086729F" w:rsidP="0086729F">
      <w:pPr>
        <w:ind w:left="240" w:hanging="240"/>
        <w:jc w:val="left"/>
        <w:rPr>
          <w:sz w:val="24"/>
        </w:rPr>
      </w:pPr>
      <w:r w:rsidRPr="0086729F">
        <w:rPr>
          <w:sz w:val="24"/>
        </w:rPr>
        <w:t>・業務支援ソフト（記録、情報共有、請求業務転記が不要なもの。）、情報端末（タブレット端末、スマートフォン端末等）の導入</w:t>
      </w:r>
    </w:p>
    <w:p w14:paraId="5CF19122" w14:textId="3BAEAE76" w:rsidR="0086729F" w:rsidRPr="0086729F" w:rsidRDefault="0086729F" w:rsidP="0086729F">
      <w:pPr>
        <w:ind w:left="240" w:hanging="240"/>
        <w:jc w:val="left"/>
        <w:rPr>
          <w:rFonts w:asciiTheme="minorEastAsia" w:hAnsiTheme="minorEastAsia"/>
          <w:sz w:val="24"/>
        </w:rPr>
      </w:pPr>
      <w:r w:rsidRPr="0086729F">
        <w:rPr>
          <w:rFonts w:asciiTheme="minorEastAsia" w:hAnsiTheme="minorEastAsia"/>
          <w:sz w:val="24"/>
        </w:rPr>
        <w:t>・</w:t>
      </w:r>
      <w:r w:rsidRPr="00453E14">
        <w:rPr>
          <w:rFonts w:asciiTheme="minorEastAsia" w:hAnsiTheme="minorEastAsia" w:cs="ＭＳ Ｐゴシック" w:hint="eastAsia"/>
          <w:color w:val="000000"/>
          <w:kern w:val="0"/>
          <w:sz w:val="24"/>
          <w14:ligatures w14:val="none"/>
        </w:rPr>
        <w:t>業務内容の明確化と役割分担を行い、福祉・介護職員が支援に集中できる環境を整備。特に、間接業務（食事等の準備や片付け、清掃、ベッドメイク、ゴミ捨て等）がある場合は、間接支援業務に従事する者の活用や外注等で担うなど、役割の見直しやシフトの組み換え等を行う。</w:t>
      </w:r>
      <w:r w:rsidRPr="00453E14">
        <w:rPr>
          <w:rFonts w:ascii="Times New Roman" w:hAnsi="Times New Roman" w:cs="Times New Roman"/>
          <w:color w:val="000000"/>
          <w:kern w:val="0"/>
          <w:sz w:val="24"/>
          <w14:ligatures w14:val="none"/>
        </w:rPr>
        <w:t>​</w:t>
      </w:r>
    </w:p>
    <w:p w14:paraId="550AA644" w14:textId="77777777" w:rsidR="0086729F" w:rsidRDefault="0086729F" w:rsidP="0086729F">
      <w:pPr>
        <w:ind w:left="240" w:hanging="240"/>
        <w:jc w:val="left"/>
        <w:rPr>
          <w:sz w:val="24"/>
        </w:rPr>
      </w:pPr>
    </w:p>
    <w:p w14:paraId="3A599E98" w14:textId="6D469CE0" w:rsidR="0086729F" w:rsidRPr="0086729F" w:rsidRDefault="0086729F" w:rsidP="0086729F">
      <w:pPr>
        <w:ind w:left="240" w:hanging="240"/>
        <w:jc w:val="left"/>
        <w:rPr>
          <w:b/>
          <w:bCs/>
          <w:sz w:val="24"/>
          <w:u w:val="single"/>
        </w:rPr>
      </w:pPr>
      <w:r w:rsidRPr="0086729F">
        <w:rPr>
          <w:rFonts w:hint="eastAsia"/>
          <w:b/>
          <w:bCs/>
          <w:sz w:val="24"/>
          <w:u w:val="single"/>
        </w:rPr>
        <w:t>6，</w:t>
      </w:r>
      <w:r w:rsidRPr="0086729F">
        <w:rPr>
          <w:b/>
          <w:bCs/>
          <w:sz w:val="24"/>
          <w:u w:val="single"/>
        </w:rPr>
        <w:t>やりがい・働きがいの醸成</w:t>
      </w:r>
    </w:p>
    <w:p w14:paraId="337E478D" w14:textId="1719894F" w:rsidR="0086729F" w:rsidRPr="0086729F" w:rsidRDefault="0086729F" w:rsidP="0086729F">
      <w:pPr>
        <w:ind w:left="240" w:hanging="240"/>
        <w:jc w:val="left"/>
        <w:rPr>
          <w:rFonts w:asciiTheme="minorEastAsia" w:hAnsiTheme="minorEastAsia"/>
          <w:sz w:val="24"/>
        </w:rPr>
      </w:pPr>
      <w:r w:rsidRPr="0086729F">
        <w:rPr>
          <w:rFonts w:asciiTheme="minorEastAsia" w:hAnsiTheme="minorEastAsia" w:hint="eastAsia"/>
          <w:sz w:val="24"/>
        </w:rPr>
        <w:t>・</w:t>
      </w:r>
      <w:r w:rsidRPr="00453E14">
        <w:rPr>
          <w:rFonts w:asciiTheme="minorEastAsia" w:hAnsiTheme="minorEastAsia" w:cs="ＭＳ Ｐゴシック" w:hint="eastAsia"/>
          <w:color w:val="000000"/>
          <w:kern w:val="0"/>
          <w:sz w:val="24"/>
          <w14:ligatures w14:val="none"/>
        </w:rPr>
        <w:t>ミーティング等による職場内コミュニケーションの円滑化による個々の福祉・介護職員の気づきを踏まえた勤務環境や支援内容の改善</w:t>
      </w:r>
    </w:p>
    <w:p w14:paraId="1B25ED83" w14:textId="48FD2B98" w:rsidR="0086729F" w:rsidRPr="0086729F" w:rsidRDefault="0086729F" w:rsidP="0086729F">
      <w:pPr>
        <w:ind w:left="240" w:hanging="240"/>
        <w:jc w:val="left"/>
        <w:rPr>
          <w:sz w:val="24"/>
        </w:rPr>
      </w:pPr>
      <w:r w:rsidRPr="0086729F">
        <w:rPr>
          <w:sz w:val="24"/>
        </w:rPr>
        <w:t>・地域社会への参加・包容（インクルージョン）の推進のため、モチベーション向上に資する、地域の児童・生徒や住民との交流の実施</w:t>
      </w:r>
    </w:p>
    <w:sectPr w:rsidR="0086729F" w:rsidRPr="008672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9F"/>
    <w:rsid w:val="00822EF4"/>
    <w:rsid w:val="0086729F"/>
    <w:rsid w:val="00B64E12"/>
    <w:rsid w:val="00D525D9"/>
    <w:rsid w:val="00EF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E49088"/>
  <w15:chartTrackingRefBased/>
  <w15:docId w15:val="{766E9224-483D-4304-BEA9-E2BDF74D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line="0" w:lineRule="atLeast"/>
        <w:ind w:left="100" w:hangingChars="100" w:hanging="10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9F"/>
  </w:style>
  <w:style w:type="paragraph" w:styleId="1">
    <w:name w:val="heading 1"/>
    <w:basedOn w:val="a"/>
    <w:next w:val="a"/>
    <w:link w:val="10"/>
    <w:uiPriority w:val="9"/>
    <w:qFormat/>
    <w:rsid w:val="008672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72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72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72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729F"/>
    <w:pPr>
      <w:keepNext/>
      <w:keepLines/>
      <w:spacing w:before="80" w:after="40"/>
      <w:ind w:leftChars="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72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72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72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72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72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72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72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72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72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72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72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72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72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7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7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29F"/>
    <w:pPr>
      <w:numPr>
        <w:ilvl w:val="1"/>
      </w:numPr>
      <w:spacing w:after="160"/>
      <w:ind w:left="100" w:hangingChars="100" w:hanging="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7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29F"/>
    <w:pPr>
      <w:spacing w:before="160" w:after="160"/>
      <w:jc w:val="center"/>
    </w:pPr>
    <w:rPr>
      <w:i/>
      <w:iCs/>
      <w:color w:val="404040" w:themeColor="text1" w:themeTint="BF"/>
    </w:rPr>
  </w:style>
  <w:style w:type="character" w:customStyle="1" w:styleId="a8">
    <w:name w:val="引用文 (文字)"/>
    <w:basedOn w:val="a0"/>
    <w:link w:val="a7"/>
    <w:uiPriority w:val="29"/>
    <w:rsid w:val="0086729F"/>
    <w:rPr>
      <w:i/>
      <w:iCs/>
      <w:color w:val="404040" w:themeColor="text1" w:themeTint="BF"/>
    </w:rPr>
  </w:style>
  <w:style w:type="paragraph" w:styleId="a9">
    <w:name w:val="List Paragraph"/>
    <w:basedOn w:val="a"/>
    <w:uiPriority w:val="34"/>
    <w:qFormat/>
    <w:rsid w:val="0086729F"/>
    <w:pPr>
      <w:ind w:left="720"/>
      <w:contextualSpacing/>
    </w:pPr>
  </w:style>
  <w:style w:type="character" w:styleId="21">
    <w:name w:val="Intense Emphasis"/>
    <w:basedOn w:val="a0"/>
    <w:uiPriority w:val="21"/>
    <w:qFormat/>
    <w:rsid w:val="0086729F"/>
    <w:rPr>
      <w:i/>
      <w:iCs/>
      <w:color w:val="2F5496" w:themeColor="accent1" w:themeShade="BF"/>
    </w:rPr>
  </w:style>
  <w:style w:type="paragraph" w:styleId="22">
    <w:name w:val="Intense Quote"/>
    <w:basedOn w:val="a"/>
    <w:next w:val="a"/>
    <w:link w:val="23"/>
    <w:uiPriority w:val="30"/>
    <w:qFormat/>
    <w:rsid w:val="00867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6729F"/>
    <w:rPr>
      <w:i/>
      <w:iCs/>
      <w:color w:val="2F5496" w:themeColor="accent1" w:themeShade="BF"/>
    </w:rPr>
  </w:style>
  <w:style w:type="character" w:styleId="24">
    <w:name w:val="Intense Reference"/>
    <w:basedOn w:val="a0"/>
    <w:uiPriority w:val="32"/>
    <w:qFormat/>
    <w:rsid w:val="0086729F"/>
    <w:rPr>
      <w:b/>
      <w:bCs/>
      <w:smallCaps/>
      <w:color w:val="2F5496" w:themeColor="accent1" w:themeShade="BF"/>
      <w:spacing w:val="5"/>
    </w:rPr>
  </w:style>
  <w:style w:type="paragraph" w:styleId="aa">
    <w:name w:val="Body Text Indent"/>
    <w:basedOn w:val="a"/>
    <w:link w:val="ab"/>
    <w:uiPriority w:val="99"/>
    <w:unhideWhenUsed/>
    <w:rsid w:val="0086729F"/>
    <w:pPr>
      <w:ind w:left="240" w:hanging="240"/>
      <w:jc w:val="left"/>
    </w:pPr>
    <w:rPr>
      <w:sz w:val="24"/>
    </w:rPr>
  </w:style>
  <w:style w:type="character" w:customStyle="1" w:styleId="ab">
    <w:name w:val="本文インデント (文字)"/>
    <w:basedOn w:val="a0"/>
    <w:link w:val="aa"/>
    <w:uiPriority w:val="99"/>
    <w:rsid w:val="0086729F"/>
    <w:rPr>
      <w:sz w:val="24"/>
    </w:rPr>
  </w:style>
  <w:style w:type="paragraph" w:styleId="25">
    <w:name w:val="Body Text Indent 2"/>
    <w:basedOn w:val="a"/>
    <w:link w:val="26"/>
    <w:uiPriority w:val="99"/>
    <w:unhideWhenUsed/>
    <w:rsid w:val="0086729F"/>
    <w:pPr>
      <w:ind w:leftChars="100" w:left="450" w:hanging="240"/>
      <w:jc w:val="left"/>
    </w:pPr>
    <w:rPr>
      <w:rFonts w:asciiTheme="minorEastAsia" w:hAnsiTheme="minorEastAsia" w:cs="ＭＳ Ｐゴシック"/>
      <w:color w:val="000000"/>
      <w:kern w:val="0"/>
      <w:sz w:val="24"/>
      <w14:ligatures w14:val="none"/>
    </w:rPr>
  </w:style>
  <w:style w:type="character" w:customStyle="1" w:styleId="26">
    <w:name w:val="本文インデント 2 (文字)"/>
    <w:basedOn w:val="a0"/>
    <w:link w:val="25"/>
    <w:uiPriority w:val="99"/>
    <w:rsid w:val="0086729F"/>
    <w:rPr>
      <w:rFonts w:asciiTheme="minorEastAsia" w:hAnsiTheme="minorEastAsia" w:cs="ＭＳ Ｐゴシック"/>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2026-04-14T04:09:00Z</dcterms:created>
  <dcterms:modified xsi:type="dcterms:W3CDTF">2026-04-14T04:30:00Z</dcterms:modified>
</cp:coreProperties>
</file>